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FEF3C2" w14:textId="77777777" w:rsidR="00A606C0" w:rsidRDefault="00DC3DCF" w:rsidP="00A606C0">
      <w:pPr>
        <w:spacing w:after="0" w:line="380" w:lineRule="exact"/>
        <w:jc w:val="center"/>
        <w:rPr>
          <w:b/>
          <w:lang w:val="pt-BR"/>
        </w:rPr>
      </w:pPr>
      <w:r>
        <w:rPr>
          <w:b/>
          <w:lang w:val="pt-BR"/>
        </w:rPr>
        <w:t>BẢN SO SÁNH, THUYẾT MINH NỘI DUNG DỰ THẢO</w:t>
      </w:r>
    </w:p>
    <w:p w14:paraId="11BD2948" w14:textId="77777777" w:rsidR="00997DD3" w:rsidRDefault="00A606C0" w:rsidP="00A606C0">
      <w:pPr>
        <w:spacing w:after="0" w:line="380" w:lineRule="exact"/>
        <w:jc w:val="center"/>
        <w:rPr>
          <w:i/>
          <w:szCs w:val="28"/>
        </w:rPr>
      </w:pPr>
      <w:r>
        <w:rPr>
          <w:i/>
          <w:szCs w:val="28"/>
        </w:rPr>
        <w:t>Quyết định ban hành Quy định</w:t>
      </w:r>
      <w:r w:rsidRPr="0089236B">
        <w:rPr>
          <w:i/>
          <w:szCs w:val="28"/>
        </w:rPr>
        <w:t xml:space="preserve"> cơ chế thu và sử dụng mức thu dịch vụ tuyển sinh</w:t>
      </w:r>
    </w:p>
    <w:p w14:paraId="184AE639" w14:textId="2E7676ED" w:rsidR="00A606C0" w:rsidRDefault="00A606C0" w:rsidP="00A606C0">
      <w:pPr>
        <w:spacing w:after="0" w:line="380" w:lineRule="exact"/>
        <w:jc w:val="center"/>
        <w:rPr>
          <w:i/>
          <w:szCs w:val="28"/>
        </w:rPr>
      </w:pPr>
      <w:r w:rsidRPr="0089236B">
        <w:rPr>
          <w:i/>
          <w:szCs w:val="28"/>
        </w:rPr>
        <w:t xml:space="preserve"> trong các cơ sở giáo dục công lập do tỉnh Ninh Bình quản lý</w:t>
      </w:r>
    </w:p>
    <w:p w14:paraId="1281EE67" w14:textId="77777777" w:rsidR="00A606C0" w:rsidRPr="009A5FF0" w:rsidRDefault="00A606C0" w:rsidP="00A606C0">
      <w:pPr>
        <w:spacing w:after="0" w:line="380" w:lineRule="exact"/>
        <w:jc w:val="center"/>
        <w:rPr>
          <w:b/>
          <w:lang w:val="pt-BR"/>
        </w:rPr>
      </w:pPr>
    </w:p>
    <w:tbl>
      <w:tblPr>
        <w:tblW w:w="1420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8"/>
        <w:gridCol w:w="6946"/>
      </w:tblGrid>
      <w:tr w:rsidR="00997DD3" w:rsidRPr="00C5726B" w14:paraId="26FF8987" w14:textId="77777777" w:rsidTr="00997DD3">
        <w:trPr>
          <w:trHeight w:val="515"/>
          <w:tblHeader/>
        </w:trPr>
        <w:tc>
          <w:tcPr>
            <w:tcW w:w="7258" w:type="dxa"/>
            <w:vAlign w:val="center"/>
          </w:tcPr>
          <w:p w14:paraId="60A2D6F7" w14:textId="77777777" w:rsidR="00997DD3" w:rsidRPr="00C5726B" w:rsidRDefault="00997DD3" w:rsidP="00D06D90">
            <w:pPr>
              <w:jc w:val="center"/>
              <w:rPr>
                <w:rFonts w:cs="Times New Roman"/>
                <w:b/>
                <w:bCs/>
              </w:rPr>
            </w:pPr>
            <w:r w:rsidRPr="00C5726B">
              <w:rPr>
                <w:rFonts w:cs="Times New Roman"/>
                <w:b/>
                <w:bCs/>
              </w:rPr>
              <w:t>Dự thảo văn bản</w:t>
            </w:r>
          </w:p>
        </w:tc>
        <w:tc>
          <w:tcPr>
            <w:tcW w:w="6946" w:type="dxa"/>
            <w:vAlign w:val="center"/>
          </w:tcPr>
          <w:p w14:paraId="621DA994" w14:textId="6EFC7BD3" w:rsidR="00997DD3" w:rsidRPr="00C5726B" w:rsidRDefault="00997DD3" w:rsidP="00D06D90">
            <w:pPr>
              <w:jc w:val="center"/>
              <w:rPr>
                <w:rFonts w:cs="Times New Roman"/>
                <w:b/>
                <w:bCs/>
              </w:rPr>
            </w:pPr>
            <w:r w:rsidRPr="00C5726B">
              <w:rPr>
                <w:rFonts w:cs="Times New Roman"/>
                <w:b/>
                <w:bCs/>
              </w:rPr>
              <w:t>Thuyết minh</w:t>
            </w:r>
          </w:p>
        </w:tc>
      </w:tr>
      <w:tr w:rsidR="00997DD3" w:rsidRPr="00C5726B" w14:paraId="4903BFB1" w14:textId="77777777" w:rsidTr="00997DD3">
        <w:tc>
          <w:tcPr>
            <w:tcW w:w="7258" w:type="dxa"/>
          </w:tcPr>
          <w:p w14:paraId="606270CC" w14:textId="16B69AFC" w:rsidR="00997DD3" w:rsidRPr="005D1B1F" w:rsidRDefault="005D1B1F" w:rsidP="00C5726B">
            <w:pPr>
              <w:spacing w:before="120" w:after="120" w:line="276" w:lineRule="auto"/>
              <w:jc w:val="both"/>
              <w:rPr>
                <w:rFonts w:cs="Times New Roman"/>
                <w:b/>
                <w:bCs/>
                <w:szCs w:val="28"/>
                <w:lang w:val="nl-NL"/>
              </w:rPr>
            </w:pPr>
            <w:r w:rsidRPr="005D1B1F">
              <w:rPr>
                <w:rFonts w:cs="Times New Roman"/>
                <w:b/>
                <w:bCs/>
                <w:szCs w:val="28"/>
                <w:lang w:val="nl-NL"/>
              </w:rPr>
              <w:t xml:space="preserve">Điều </w:t>
            </w:r>
            <w:r w:rsidR="00997DD3" w:rsidRPr="005D1B1F">
              <w:rPr>
                <w:rFonts w:cs="Times New Roman"/>
                <w:b/>
                <w:bCs/>
                <w:szCs w:val="28"/>
                <w:lang w:val="nl-NL"/>
              </w:rPr>
              <w:t>1. Phạm vi điều chỉnh</w:t>
            </w:r>
          </w:p>
          <w:p w14:paraId="2D8AA771" w14:textId="1F2A4F49" w:rsidR="00997DD3" w:rsidRPr="00C5726B" w:rsidRDefault="005D1B1F" w:rsidP="00C5726B">
            <w:pPr>
              <w:spacing w:before="120" w:after="120" w:line="276" w:lineRule="auto"/>
              <w:jc w:val="both"/>
              <w:rPr>
                <w:rFonts w:cs="Times New Roman"/>
                <w:szCs w:val="28"/>
              </w:rPr>
            </w:pPr>
            <w:r w:rsidRPr="005D1B1F">
              <w:rPr>
                <w:rFonts w:cs="Times New Roman"/>
                <w:b/>
                <w:szCs w:val="28"/>
              </w:rPr>
              <w:t xml:space="preserve">Điều </w:t>
            </w:r>
            <w:r w:rsidR="00997DD3" w:rsidRPr="005D1B1F">
              <w:rPr>
                <w:rFonts w:cs="Times New Roman"/>
                <w:b/>
                <w:szCs w:val="28"/>
              </w:rPr>
              <w:t>2. Đối tượng áp dụng</w:t>
            </w:r>
          </w:p>
        </w:tc>
        <w:tc>
          <w:tcPr>
            <w:tcW w:w="6946" w:type="dxa"/>
          </w:tcPr>
          <w:p w14:paraId="4D647E7F" w14:textId="668484FD" w:rsidR="00997DD3" w:rsidRDefault="00997DD3" w:rsidP="00D00C96">
            <w:pPr>
              <w:jc w:val="both"/>
            </w:pPr>
            <w:r>
              <w:t>- Phạm vi điều chỉ</w:t>
            </w:r>
            <w:r w:rsidR="005D1B1F">
              <w:t>nh quyết định</w:t>
            </w:r>
            <w:r>
              <w:t xml:space="preserve"> bảo đảm quy định tại </w:t>
            </w:r>
            <w:r w:rsidR="005D1B1F" w:rsidRPr="005D1B1F">
              <w:t>Luật số 123/2025/QH15 sửa đổi, bổ sung Điều 99 Luật Giáo dục số 43/2019/QH13</w:t>
            </w:r>
            <w:r>
              <w:t>.</w:t>
            </w:r>
          </w:p>
          <w:p w14:paraId="5E42F026" w14:textId="1CB61C8D" w:rsidR="005D1B1F" w:rsidRPr="00C5726B" w:rsidRDefault="00997DD3" w:rsidP="00D20F6D">
            <w:pPr>
              <w:jc w:val="both"/>
              <w:rPr>
                <w:rFonts w:cs="Times New Roman"/>
              </w:rPr>
            </w:pPr>
            <w:r>
              <w:t>- Đối tượng áp dụng: Bảo đảm không bỏ sót đối tượng chịu tác độ</w:t>
            </w:r>
            <w:r w:rsidR="005D1B1F">
              <w:t>ng khi ban hành quyết định</w:t>
            </w:r>
            <w:r>
              <w:t>.</w:t>
            </w:r>
            <w:bookmarkStart w:id="0" w:name="_GoBack"/>
            <w:bookmarkEnd w:id="0"/>
          </w:p>
        </w:tc>
      </w:tr>
      <w:tr w:rsidR="005D1B1F" w:rsidRPr="00C5726B" w14:paraId="4CA248DC" w14:textId="77777777" w:rsidTr="00997DD3">
        <w:tc>
          <w:tcPr>
            <w:tcW w:w="7258" w:type="dxa"/>
          </w:tcPr>
          <w:p w14:paraId="6C25DE09" w14:textId="77777777" w:rsidR="005D1B1F" w:rsidRDefault="005D1B1F" w:rsidP="00C5726B">
            <w:pPr>
              <w:spacing w:before="120" w:after="120" w:line="276" w:lineRule="auto"/>
              <w:jc w:val="both"/>
              <w:rPr>
                <w:rFonts w:cs="Times New Roman"/>
                <w:b/>
                <w:bCs/>
                <w:szCs w:val="28"/>
                <w:lang w:val="nl-NL"/>
              </w:rPr>
            </w:pPr>
            <w:r w:rsidRPr="005D1B1F">
              <w:rPr>
                <w:rFonts w:cs="Times New Roman"/>
                <w:b/>
                <w:bCs/>
                <w:szCs w:val="28"/>
                <w:lang w:val="nl-NL"/>
              </w:rPr>
              <w:t>Điều 3. Nguyên tắc xác định mức thu dịch vụ tuyển sinh</w:t>
            </w:r>
          </w:p>
          <w:p w14:paraId="0905BE6B" w14:textId="1006B3A1" w:rsidR="005D1B1F" w:rsidRPr="005D1B1F" w:rsidRDefault="005D1B1F" w:rsidP="00C5726B">
            <w:pPr>
              <w:spacing w:before="120" w:after="120" w:line="276" w:lineRule="auto"/>
              <w:jc w:val="both"/>
              <w:rPr>
                <w:rFonts w:cs="Times New Roman"/>
                <w:b/>
                <w:bCs/>
                <w:szCs w:val="28"/>
                <w:lang w:val="nl-NL"/>
              </w:rPr>
            </w:pPr>
          </w:p>
        </w:tc>
        <w:tc>
          <w:tcPr>
            <w:tcW w:w="6946" w:type="dxa"/>
          </w:tcPr>
          <w:p w14:paraId="3C66BE60" w14:textId="258125A0" w:rsidR="005D1B1F" w:rsidRDefault="002C6513" w:rsidP="00D00C96">
            <w:pPr>
              <w:jc w:val="both"/>
            </w:pPr>
            <w:r w:rsidRPr="002C6513">
              <w:t>Mức thu dịch vụ tuyển sinh được xác định dựa trên chi phí phục vụ công tác tuyển sinh đảm bảo nguyên tắc tính đúng, tính đủ, thu đủ chi, đúng quy chế tuyển sinh và các quy định của nhà nước về quản lý tài chính; phù hợp với điều kiện kinh tế xã hội của phương</w:t>
            </w:r>
          </w:p>
        </w:tc>
      </w:tr>
      <w:tr w:rsidR="002C6513" w:rsidRPr="00C5726B" w14:paraId="7A0DCF8F" w14:textId="77777777" w:rsidTr="00997DD3">
        <w:tc>
          <w:tcPr>
            <w:tcW w:w="7258" w:type="dxa"/>
          </w:tcPr>
          <w:p w14:paraId="54071C5A" w14:textId="5B70BB70" w:rsidR="002C6513" w:rsidRPr="005D1B1F" w:rsidRDefault="002C6513" w:rsidP="00C5726B">
            <w:pPr>
              <w:spacing w:before="120" w:after="120" w:line="276" w:lineRule="auto"/>
              <w:jc w:val="both"/>
              <w:rPr>
                <w:rFonts w:cs="Times New Roman"/>
                <w:b/>
                <w:bCs/>
                <w:szCs w:val="28"/>
                <w:lang w:val="nl-NL"/>
              </w:rPr>
            </w:pPr>
            <w:r w:rsidRPr="002C6513">
              <w:rPr>
                <w:rFonts w:cs="Times New Roman"/>
                <w:b/>
                <w:bCs/>
                <w:szCs w:val="28"/>
                <w:lang w:val="nl-NL"/>
              </w:rPr>
              <w:t>Điều 4. Cơ chế thu và mức thu dịch vụ tuyển sinh</w:t>
            </w:r>
          </w:p>
        </w:tc>
        <w:tc>
          <w:tcPr>
            <w:tcW w:w="6946" w:type="dxa"/>
          </w:tcPr>
          <w:p w14:paraId="7F3CCBEF" w14:textId="77777777" w:rsidR="002C6513" w:rsidRDefault="002C6513" w:rsidP="002C6513">
            <w:pPr>
              <w:jc w:val="both"/>
            </w:pPr>
            <w:r>
              <w:t>Mức thu dịch vụ tuyển sinh c</w:t>
            </w:r>
            <w:r w:rsidRPr="002C6513">
              <w:t>ăn cứ vào dự kiến số lượng học sinh đăng ký, số môn thi, phương thức tuyển sinh các cơ sở giáo dục lập hồ sơ xác định mức thu báo cáo cơ quan quản lý trước khi thực hiện</w:t>
            </w:r>
            <w:r>
              <w:t>.</w:t>
            </w:r>
          </w:p>
          <w:p w14:paraId="2FD784C9" w14:textId="5A689499" w:rsidR="002C6513" w:rsidRDefault="002C6513" w:rsidP="002C6513">
            <w:pPr>
              <w:jc w:val="both"/>
            </w:pPr>
            <w:r w:rsidRPr="00075083">
              <w:t xml:space="preserve">Mức thu dịch vụ tuyển sinh được xác định trên cơ sở dự toán thu chi do cơ sở </w:t>
            </w:r>
            <w:r>
              <w:t>giáo dục</w:t>
            </w:r>
            <w:r w:rsidRPr="00075083">
              <w:t xml:space="preserve"> lập đảm bảo đủ chi phí thực hiện các </w:t>
            </w:r>
            <w:r>
              <w:t>nhiệm vụ</w:t>
            </w:r>
            <w:r w:rsidRPr="00075083">
              <w:t xml:space="preserve"> phục vụ công tác tuyển sinh theo quy định của pháp luật. </w:t>
            </w:r>
          </w:p>
        </w:tc>
      </w:tr>
      <w:tr w:rsidR="002C6513" w:rsidRPr="00C5726B" w14:paraId="1C63A0C2" w14:textId="77777777" w:rsidTr="00997DD3">
        <w:tc>
          <w:tcPr>
            <w:tcW w:w="7258" w:type="dxa"/>
          </w:tcPr>
          <w:p w14:paraId="4705A4B1" w14:textId="5C17DBFB" w:rsidR="002C6513" w:rsidRPr="002C6513" w:rsidRDefault="002C6513" w:rsidP="00C5726B">
            <w:pPr>
              <w:spacing w:before="120" w:after="120" w:line="276" w:lineRule="auto"/>
              <w:jc w:val="both"/>
              <w:rPr>
                <w:rFonts w:cs="Times New Roman"/>
                <w:b/>
                <w:bCs/>
                <w:szCs w:val="28"/>
                <w:lang w:val="nl-NL"/>
              </w:rPr>
            </w:pPr>
            <w:r w:rsidRPr="002C6513">
              <w:rPr>
                <w:rFonts w:cs="Times New Roman"/>
                <w:b/>
                <w:bCs/>
                <w:szCs w:val="28"/>
                <w:lang w:val="nl-NL"/>
              </w:rPr>
              <w:lastRenderedPageBreak/>
              <w:t>Điều 5. Quản lý và sử dụng mức thu dịch vụ tuyển sinh</w:t>
            </w:r>
          </w:p>
        </w:tc>
        <w:tc>
          <w:tcPr>
            <w:tcW w:w="6946" w:type="dxa"/>
          </w:tcPr>
          <w:p w14:paraId="3E8C0333" w14:textId="69AF241D" w:rsidR="002C6513" w:rsidRDefault="000511B7" w:rsidP="00D00C96">
            <w:pPr>
              <w:jc w:val="both"/>
            </w:pPr>
            <w:r w:rsidRPr="00E50E8F">
              <w:t>Các cơ quan quản lý giáo dục, cơ sở giáo dục thực hiện nhiệm vụ tuyển sinh</w:t>
            </w:r>
            <w:r>
              <w:t xml:space="preserve"> có trách nhiệm sử dụng mức thu</w:t>
            </w:r>
            <w:r w:rsidRPr="00E50E8F">
              <w:t xml:space="preserve"> dịch vụ tuyển sinh đúng theo quy định của pháp luật</w:t>
            </w:r>
          </w:p>
        </w:tc>
      </w:tr>
      <w:tr w:rsidR="002C6513" w:rsidRPr="00C5726B" w14:paraId="4D9D7B36" w14:textId="77777777" w:rsidTr="00997DD3">
        <w:tc>
          <w:tcPr>
            <w:tcW w:w="7258" w:type="dxa"/>
          </w:tcPr>
          <w:p w14:paraId="7CEC5AD2" w14:textId="693EA514" w:rsidR="002C6513" w:rsidRPr="002C6513" w:rsidRDefault="002C6513" w:rsidP="00C5726B">
            <w:pPr>
              <w:spacing w:before="120" w:after="120" w:line="276" w:lineRule="auto"/>
              <w:jc w:val="both"/>
              <w:rPr>
                <w:rFonts w:cs="Times New Roman"/>
                <w:b/>
                <w:bCs/>
                <w:szCs w:val="28"/>
                <w:lang w:val="nl-NL"/>
              </w:rPr>
            </w:pPr>
            <w:r w:rsidRPr="002C6513">
              <w:rPr>
                <w:rFonts w:cs="Times New Roman"/>
                <w:b/>
                <w:bCs/>
                <w:szCs w:val="28"/>
                <w:lang w:val="nl-NL"/>
              </w:rPr>
              <w:t>Điều 6. Trách nhiệm của các cơ quan, tổ chức có liên quan</w:t>
            </w:r>
          </w:p>
        </w:tc>
        <w:tc>
          <w:tcPr>
            <w:tcW w:w="6946" w:type="dxa"/>
          </w:tcPr>
          <w:p w14:paraId="12652733" w14:textId="6EC92B67" w:rsidR="002C6513" w:rsidRDefault="000511B7" w:rsidP="00D00C96">
            <w:pPr>
              <w:jc w:val="both"/>
            </w:pPr>
            <w:r>
              <w:t>Bảo đảm đúng vai trò, trách nhiệm của Sở Giáo dục và Đào tạ</w:t>
            </w:r>
            <w:r w:rsidR="00731679">
              <w:t>o</w:t>
            </w:r>
            <w:r>
              <w:t>; UBND các xã, phường; Các cơ sở giáo dục công lập.</w:t>
            </w:r>
          </w:p>
        </w:tc>
      </w:tr>
    </w:tbl>
    <w:p w14:paraId="7AAC80BB" w14:textId="74C6FE91" w:rsidR="00DC3DCF" w:rsidRDefault="00DC3DCF" w:rsidP="00DC3DCF">
      <w:pPr>
        <w:jc w:val="center"/>
      </w:pPr>
      <w:r>
        <w:t>……………………………………..</w:t>
      </w:r>
    </w:p>
    <w:p w14:paraId="418FC91D" w14:textId="77777777" w:rsidR="00DC3DCF" w:rsidRPr="006A3716" w:rsidRDefault="00DC3DCF" w:rsidP="00864B3B">
      <w:pPr>
        <w:spacing w:before="120" w:after="120" w:line="276" w:lineRule="auto"/>
        <w:ind w:firstLine="720"/>
        <w:jc w:val="both"/>
        <w:rPr>
          <w:b/>
          <w:sz w:val="2"/>
          <w:szCs w:val="2"/>
        </w:rPr>
      </w:pPr>
    </w:p>
    <w:sectPr w:rsidR="00DC3DCF" w:rsidRPr="006A3716" w:rsidSect="00A606C0">
      <w:pgSz w:w="16839" w:h="11907" w:orient="landscape" w:code="9"/>
      <w:pgMar w:top="1077" w:right="1021" w:bottom="964" w:left="1247"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0AD88B" w14:textId="77777777" w:rsidR="00373D43" w:rsidRDefault="00373D43" w:rsidP="007C470B">
      <w:pPr>
        <w:spacing w:after="0" w:line="240" w:lineRule="auto"/>
      </w:pPr>
      <w:r>
        <w:separator/>
      </w:r>
    </w:p>
  </w:endnote>
  <w:endnote w:type="continuationSeparator" w:id="0">
    <w:p w14:paraId="5569A642" w14:textId="77777777" w:rsidR="00373D43" w:rsidRDefault="00373D43" w:rsidP="007C4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37061E" w14:textId="77777777" w:rsidR="00373D43" w:rsidRDefault="00373D43" w:rsidP="007C470B">
      <w:pPr>
        <w:spacing w:after="0" w:line="240" w:lineRule="auto"/>
      </w:pPr>
      <w:r>
        <w:separator/>
      </w:r>
    </w:p>
  </w:footnote>
  <w:footnote w:type="continuationSeparator" w:id="0">
    <w:p w14:paraId="38723806" w14:textId="77777777" w:rsidR="00373D43" w:rsidRDefault="00373D43" w:rsidP="007C47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8F3C4A"/>
    <w:multiLevelType w:val="hybridMultilevel"/>
    <w:tmpl w:val="C4C07F20"/>
    <w:lvl w:ilvl="0" w:tplc="2442799C">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F47914"/>
    <w:multiLevelType w:val="hybridMultilevel"/>
    <w:tmpl w:val="7DA21016"/>
    <w:lvl w:ilvl="0" w:tplc="AFA2863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630AE3"/>
    <w:multiLevelType w:val="hybridMultilevel"/>
    <w:tmpl w:val="5030A056"/>
    <w:lvl w:ilvl="0" w:tplc="25A0C1C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1AB72F3"/>
    <w:multiLevelType w:val="hybridMultilevel"/>
    <w:tmpl w:val="D98A43EE"/>
    <w:lvl w:ilvl="0" w:tplc="6984862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E4E"/>
    <w:rsid w:val="000003C8"/>
    <w:rsid w:val="000046F8"/>
    <w:rsid w:val="00022E7C"/>
    <w:rsid w:val="000231B4"/>
    <w:rsid w:val="0002339F"/>
    <w:rsid w:val="00024549"/>
    <w:rsid w:val="00027E30"/>
    <w:rsid w:val="00031418"/>
    <w:rsid w:val="00041AC7"/>
    <w:rsid w:val="000511B7"/>
    <w:rsid w:val="00052252"/>
    <w:rsid w:val="00062652"/>
    <w:rsid w:val="00070731"/>
    <w:rsid w:val="00076FD7"/>
    <w:rsid w:val="000836F1"/>
    <w:rsid w:val="00085FF3"/>
    <w:rsid w:val="000A27A7"/>
    <w:rsid w:val="000A3EE9"/>
    <w:rsid w:val="000A5401"/>
    <w:rsid w:val="000B2702"/>
    <w:rsid w:val="000D691F"/>
    <w:rsid w:val="000E6508"/>
    <w:rsid w:val="000F0E01"/>
    <w:rsid w:val="00111CC9"/>
    <w:rsid w:val="00116E5E"/>
    <w:rsid w:val="00130419"/>
    <w:rsid w:val="0014137F"/>
    <w:rsid w:val="00155AAD"/>
    <w:rsid w:val="00155F0F"/>
    <w:rsid w:val="00166773"/>
    <w:rsid w:val="001959B8"/>
    <w:rsid w:val="00196A16"/>
    <w:rsid w:val="001A1F11"/>
    <w:rsid w:val="001A4AF5"/>
    <w:rsid w:val="001A550D"/>
    <w:rsid w:val="001C1979"/>
    <w:rsid w:val="00212E0C"/>
    <w:rsid w:val="00216618"/>
    <w:rsid w:val="002228F9"/>
    <w:rsid w:val="002267C6"/>
    <w:rsid w:val="00240A6B"/>
    <w:rsid w:val="00242CE1"/>
    <w:rsid w:val="002449CC"/>
    <w:rsid w:val="00260FD5"/>
    <w:rsid w:val="002648B4"/>
    <w:rsid w:val="00290837"/>
    <w:rsid w:val="002A0CDB"/>
    <w:rsid w:val="002A206F"/>
    <w:rsid w:val="002A3298"/>
    <w:rsid w:val="002C047E"/>
    <w:rsid w:val="002C409C"/>
    <w:rsid w:val="002C61DC"/>
    <w:rsid w:val="002C6513"/>
    <w:rsid w:val="002C7A6F"/>
    <w:rsid w:val="002D1922"/>
    <w:rsid w:val="002D5EB1"/>
    <w:rsid w:val="002E3D3E"/>
    <w:rsid w:val="002E6609"/>
    <w:rsid w:val="002E6B80"/>
    <w:rsid w:val="002F51A9"/>
    <w:rsid w:val="00300AD2"/>
    <w:rsid w:val="00306D9D"/>
    <w:rsid w:val="00306F69"/>
    <w:rsid w:val="003119B9"/>
    <w:rsid w:val="00317B1C"/>
    <w:rsid w:val="00325D83"/>
    <w:rsid w:val="00351E78"/>
    <w:rsid w:val="00353E16"/>
    <w:rsid w:val="00362B0F"/>
    <w:rsid w:val="00364E93"/>
    <w:rsid w:val="00373D43"/>
    <w:rsid w:val="003772F1"/>
    <w:rsid w:val="003B38C9"/>
    <w:rsid w:val="003D3388"/>
    <w:rsid w:val="003F3979"/>
    <w:rsid w:val="003F6FD5"/>
    <w:rsid w:val="00402242"/>
    <w:rsid w:val="00410793"/>
    <w:rsid w:val="00441AEA"/>
    <w:rsid w:val="00460D63"/>
    <w:rsid w:val="004928CE"/>
    <w:rsid w:val="00494B8F"/>
    <w:rsid w:val="00497AEE"/>
    <w:rsid w:val="004A035A"/>
    <w:rsid w:val="004C0AC5"/>
    <w:rsid w:val="004C5992"/>
    <w:rsid w:val="004C679F"/>
    <w:rsid w:val="004D4AD3"/>
    <w:rsid w:val="004F33B8"/>
    <w:rsid w:val="004F7BC7"/>
    <w:rsid w:val="004F7D2B"/>
    <w:rsid w:val="005224D1"/>
    <w:rsid w:val="0054553D"/>
    <w:rsid w:val="005505CD"/>
    <w:rsid w:val="005870CB"/>
    <w:rsid w:val="00591C5C"/>
    <w:rsid w:val="00596333"/>
    <w:rsid w:val="005C7C9B"/>
    <w:rsid w:val="005D1B1F"/>
    <w:rsid w:val="005D2003"/>
    <w:rsid w:val="005D4E75"/>
    <w:rsid w:val="005E095A"/>
    <w:rsid w:val="005F619C"/>
    <w:rsid w:val="005F6E6C"/>
    <w:rsid w:val="00614FE0"/>
    <w:rsid w:val="00617256"/>
    <w:rsid w:val="00630B8D"/>
    <w:rsid w:val="0064342D"/>
    <w:rsid w:val="00654DBE"/>
    <w:rsid w:val="0065624A"/>
    <w:rsid w:val="0066726C"/>
    <w:rsid w:val="006A2D47"/>
    <w:rsid w:val="006A3716"/>
    <w:rsid w:val="006B7F74"/>
    <w:rsid w:val="006E1835"/>
    <w:rsid w:val="006F1DED"/>
    <w:rsid w:val="0070207C"/>
    <w:rsid w:val="0070469E"/>
    <w:rsid w:val="007115F1"/>
    <w:rsid w:val="00720160"/>
    <w:rsid w:val="00720B1F"/>
    <w:rsid w:val="00721F88"/>
    <w:rsid w:val="0072349A"/>
    <w:rsid w:val="00731679"/>
    <w:rsid w:val="00735E6C"/>
    <w:rsid w:val="00735F06"/>
    <w:rsid w:val="00742839"/>
    <w:rsid w:val="0075345C"/>
    <w:rsid w:val="00761C17"/>
    <w:rsid w:val="00764E4E"/>
    <w:rsid w:val="007661F8"/>
    <w:rsid w:val="00774041"/>
    <w:rsid w:val="00795AA6"/>
    <w:rsid w:val="007A64F1"/>
    <w:rsid w:val="007B2ACC"/>
    <w:rsid w:val="007C470B"/>
    <w:rsid w:val="007D7CD5"/>
    <w:rsid w:val="007E0EFA"/>
    <w:rsid w:val="007F55DC"/>
    <w:rsid w:val="00824F10"/>
    <w:rsid w:val="00846688"/>
    <w:rsid w:val="008468D6"/>
    <w:rsid w:val="00852278"/>
    <w:rsid w:val="0085499D"/>
    <w:rsid w:val="00864B3B"/>
    <w:rsid w:val="008735E0"/>
    <w:rsid w:val="00875134"/>
    <w:rsid w:val="008942F6"/>
    <w:rsid w:val="008A1DC4"/>
    <w:rsid w:val="008A33DC"/>
    <w:rsid w:val="008B18DE"/>
    <w:rsid w:val="008B19BF"/>
    <w:rsid w:val="008B5320"/>
    <w:rsid w:val="008D4B54"/>
    <w:rsid w:val="008E271E"/>
    <w:rsid w:val="008F1E47"/>
    <w:rsid w:val="00911D85"/>
    <w:rsid w:val="00912907"/>
    <w:rsid w:val="00913EDA"/>
    <w:rsid w:val="00925FA2"/>
    <w:rsid w:val="009305FD"/>
    <w:rsid w:val="00933E96"/>
    <w:rsid w:val="00935DAE"/>
    <w:rsid w:val="00941758"/>
    <w:rsid w:val="00946001"/>
    <w:rsid w:val="00956451"/>
    <w:rsid w:val="00961F36"/>
    <w:rsid w:val="00962F9C"/>
    <w:rsid w:val="0097566F"/>
    <w:rsid w:val="0099097D"/>
    <w:rsid w:val="0099282C"/>
    <w:rsid w:val="00992BB9"/>
    <w:rsid w:val="00993896"/>
    <w:rsid w:val="00997DD3"/>
    <w:rsid w:val="009B0756"/>
    <w:rsid w:val="009B4709"/>
    <w:rsid w:val="009B54ED"/>
    <w:rsid w:val="009C761B"/>
    <w:rsid w:val="009E2ED1"/>
    <w:rsid w:val="009E3DD7"/>
    <w:rsid w:val="009E78A5"/>
    <w:rsid w:val="009F4426"/>
    <w:rsid w:val="009F4A2C"/>
    <w:rsid w:val="00A00C4D"/>
    <w:rsid w:val="00A170B2"/>
    <w:rsid w:val="00A1711F"/>
    <w:rsid w:val="00A21454"/>
    <w:rsid w:val="00A606C0"/>
    <w:rsid w:val="00A65AB0"/>
    <w:rsid w:val="00A670F3"/>
    <w:rsid w:val="00A802B0"/>
    <w:rsid w:val="00A87288"/>
    <w:rsid w:val="00A91D3A"/>
    <w:rsid w:val="00A94E8C"/>
    <w:rsid w:val="00AA2E4B"/>
    <w:rsid w:val="00AD2337"/>
    <w:rsid w:val="00AD3020"/>
    <w:rsid w:val="00AE0818"/>
    <w:rsid w:val="00AE1387"/>
    <w:rsid w:val="00AF082F"/>
    <w:rsid w:val="00AF576A"/>
    <w:rsid w:val="00B02B3B"/>
    <w:rsid w:val="00B17CC9"/>
    <w:rsid w:val="00B42C9B"/>
    <w:rsid w:val="00B576E5"/>
    <w:rsid w:val="00B61CEB"/>
    <w:rsid w:val="00B72C97"/>
    <w:rsid w:val="00B73F62"/>
    <w:rsid w:val="00B839E4"/>
    <w:rsid w:val="00BA24C4"/>
    <w:rsid w:val="00BA29FF"/>
    <w:rsid w:val="00BB6040"/>
    <w:rsid w:val="00BB7C55"/>
    <w:rsid w:val="00BD0368"/>
    <w:rsid w:val="00BD4615"/>
    <w:rsid w:val="00BD6A4A"/>
    <w:rsid w:val="00BE0352"/>
    <w:rsid w:val="00BF4291"/>
    <w:rsid w:val="00C037F2"/>
    <w:rsid w:val="00C05CCA"/>
    <w:rsid w:val="00C121A0"/>
    <w:rsid w:val="00C15729"/>
    <w:rsid w:val="00C42813"/>
    <w:rsid w:val="00C450B3"/>
    <w:rsid w:val="00C46CBA"/>
    <w:rsid w:val="00C52818"/>
    <w:rsid w:val="00C5726B"/>
    <w:rsid w:val="00C5773D"/>
    <w:rsid w:val="00C6006E"/>
    <w:rsid w:val="00C6513C"/>
    <w:rsid w:val="00C73446"/>
    <w:rsid w:val="00C765B0"/>
    <w:rsid w:val="00C805BC"/>
    <w:rsid w:val="00C81DAD"/>
    <w:rsid w:val="00C92845"/>
    <w:rsid w:val="00CA139C"/>
    <w:rsid w:val="00CA5EE0"/>
    <w:rsid w:val="00CB0816"/>
    <w:rsid w:val="00CB4197"/>
    <w:rsid w:val="00CC09E0"/>
    <w:rsid w:val="00CD444E"/>
    <w:rsid w:val="00CF4A05"/>
    <w:rsid w:val="00D00C96"/>
    <w:rsid w:val="00D20F6D"/>
    <w:rsid w:val="00D25CBA"/>
    <w:rsid w:val="00D260AF"/>
    <w:rsid w:val="00D41303"/>
    <w:rsid w:val="00D51E43"/>
    <w:rsid w:val="00D64287"/>
    <w:rsid w:val="00D671E0"/>
    <w:rsid w:val="00D773D4"/>
    <w:rsid w:val="00D90271"/>
    <w:rsid w:val="00DC3DCF"/>
    <w:rsid w:val="00DF1CAB"/>
    <w:rsid w:val="00DF4922"/>
    <w:rsid w:val="00E072D2"/>
    <w:rsid w:val="00E10BB4"/>
    <w:rsid w:val="00E150AB"/>
    <w:rsid w:val="00E175EC"/>
    <w:rsid w:val="00E23622"/>
    <w:rsid w:val="00E275B9"/>
    <w:rsid w:val="00E30E64"/>
    <w:rsid w:val="00E40250"/>
    <w:rsid w:val="00E465DC"/>
    <w:rsid w:val="00E77429"/>
    <w:rsid w:val="00E8598D"/>
    <w:rsid w:val="00E97667"/>
    <w:rsid w:val="00E97EED"/>
    <w:rsid w:val="00EA2E0E"/>
    <w:rsid w:val="00EA4E17"/>
    <w:rsid w:val="00EA7EB1"/>
    <w:rsid w:val="00EB6093"/>
    <w:rsid w:val="00EF038A"/>
    <w:rsid w:val="00EF39A3"/>
    <w:rsid w:val="00F06CA5"/>
    <w:rsid w:val="00F12A59"/>
    <w:rsid w:val="00F2152B"/>
    <w:rsid w:val="00F36C16"/>
    <w:rsid w:val="00F44E03"/>
    <w:rsid w:val="00F47131"/>
    <w:rsid w:val="00F50C2B"/>
    <w:rsid w:val="00F74AC2"/>
    <w:rsid w:val="00F81909"/>
    <w:rsid w:val="00F824C4"/>
    <w:rsid w:val="00F82B85"/>
    <w:rsid w:val="00F86448"/>
    <w:rsid w:val="00F92901"/>
    <w:rsid w:val="00FC2B05"/>
    <w:rsid w:val="00FD5B29"/>
    <w:rsid w:val="00FE2E0F"/>
    <w:rsid w:val="00FE73B5"/>
    <w:rsid w:val="00FF19E0"/>
    <w:rsid w:val="00FF2040"/>
    <w:rsid w:val="00FF410F"/>
    <w:rsid w:val="00FF6B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F8361"/>
  <w15:docId w15:val="{77FEA9C0-ACCA-4D94-831B-25B0B1B8A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7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7BC7"/>
    <w:pPr>
      <w:ind w:left="720"/>
      <w:contextualSpacing/>
    </w:pPr>
  </w:style>
  <w:style w:type="character" w:styleId="CommentReference">
    <w:name w:val="annotation reference"/>
    <w:basedOn w:val="DefaultParagraphFont"/>
    <w:uiPriority w:val="99"/>
    <w:semiHidden/>
    <w:unhideWhenUsed/>
    <w:rsid w:val="002D5EB1"/>
    <w:rPr>
      <w:sz w:val="16"/>
      <w:szCs w:val="16"/>
    </w:rPr>
  </w:style>
  <w:style w:type="paragraph" w:styleId="CommentText">
    <w:name w:val="annotation text"/>
    <w:basedOn w:val="Normal"/>
    <w:link w:val="CommentTextChar"/>
    <w:uiPriority w:val="99"/>
    <w:semiHidden/>
    <w:unhideWhenUsed/>
    <w:rsid w:val="002D5EB1"/>
    <w:pPr>
      <w:spacing w:line="240" w:lineRule="auto"/>
    </w:pPr>
    <w:rPr>
      <w:sz w:val="20"/>
      <w:szCs w:val="20"/>
    </w:rPr>
  </w:style>
  <w:style w:type="character" w:customStyle="1" w:styleId="CommentTextChar">
    <w:name w:val="Comment Text Char"/>
    <w:basedOn w:val="DefaultParagraphFont"/>
    <w:link w:val="CommentText"/>
    <w:uiPriority w:val="99"/>
    <w:semiHidden/>
    <w:rsid w:val="002D5EB1"/>
    <w:rPr>
      <w:sz w:val="20"/>
      <w:szCs w:val="20"/>
    </w:rPr>
  </w:style>
  <w:style w:type="paragraph" w:styleId="CommentSubject">
    <w:name w:val="annotation subject"/>
    <w:basedOn w:val="CommentText"/>
    <w:next w:val="CommentText"/>
    <w:link w:val="CommentSubjectChar"/>
    <w:uiPriority w:val="99"/>
    <w:semiHidden/>
    <w:unhideWhenUsed/>
    <w:rsid w:val="002D5EB1"/>
    <w:rPr>
      <w:b/>
      <w:bCs/>
    </w:rPr>
  </w:style>
  <w:style w:type="character" w:customStyle="1" w:styleId="CommentSubjectChar">
    <w:name w:val="Comment Subject Char"/>
    <w:basedOn w:val="CommentTextChar"/>
    <w:link w:val="CommentSubject"/>
    <w:uiPriority w:val="99"/>
    <w:semiHidden/>
    <w:rsid w:val="002D5EB1"/>
    <w:rPr>
      <w:b/>
      <w:bCs/>
      <w:sz w:val="20"/>
      <w:szCs w:val="20"/>
    </w:rPr>
  </w:style>
  <w:style w:type="paragraph" w:styleId="Header">
    <w:name w:val="header"/>
    <w:basedOn w:val="Normal"/>
    <w:link w:val="HeaderChar"/>
    <w:uiPriority w:val="99"/>
    <w:unhideWhenUsed/>
    <w:rsid w:val="007C47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470B"/>
  </w:style>
  <w:style w:type="paragraph" w:styleId="Footer">
    <w:name w:val="footer"/>
    <w:basedOn w:val="Normal"/>
    <w:link w:val="FooterChar"/>
    <w:uiPriority w:val="99"/>
    <w:unhideWhenUsed/>
    <w:rsid w:val="007C47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470B"/>
  </w:style>
  <w:style w:type="paragraph" w:styleId="BalloonText">
    <w:name w:val="Balloon Text"/>
    <w:basedOn w:val="Normal"/>
    <w:link w:val="BalloonTextChar"/>
    <w:uiPriority w:val="99"/>
    <w:semiHidden/>
    <w:unhideWhenUsed/>
    <w:rsid w:val="008E27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71E"/>
    <w:rPr>
      <w:rFonts w:ascii="Tahoma" w:hAnsi="Tahoma" w:cs="Tahoma"/>
      <w:sz w:val="16"/>
      <w:szCs w:val="16"/>
    </w:rPr>
  </w:style>
  <w:style w:type="character" w:styleId="Hyperlink">
    <w:name w:val="Hyperlink"/>
    <w:basedOn w:val="DefaultParagraphFont"/>
    <w:uiPriority w:val="99"/>
    <w:unhideWhenUsed/>
    <w:rsid w:val="008468D6"/>
    <w:rPr>
      <w:color w:val="0563C1" w:themeColor="hyperlink"/>
      <w:u w:val="single"/>
    </w:rPr>
  </w:style>
  <w:style w:type="character" w:customStyle="1" w:styleId="UnresolvedMention1">
    <w:name w:val="Unresolved Mention1"/>
    <w:basedOn w:val="DefaultParagraphFont"/>
    <w:uiPriority w:val="99"/>
    <w:semiHidden/>
    <w:unhideWhenUsed/>
    <w:rsid w:val="008468D6"/>
    <w:rPr>
      <w:color w:val="605E5C"/>
      <w:shd w:val="clear" w:color="auto" w:fill="E1DFDD"/>
    </w:rPr>
  </w:style>
  <w:style w:type="paragraph" w:customStyle="1" w:styleId="CharCharCharChar">
    <w:name w:val="Char Char Char Char"/>
    <w:basedOn w:val="Normal"/>
    <w:rsid w:val="00DC3DCF"/>
    <w:pPr>
      <w:spacing w:line="240" w:lineRule="exact"/>
    </w:pPr>
    <w:rPr>
      <w:rFonts w:ascii="Verdana" w:eastAsia="Times New Roman" w:hAnsi="Verdana" w:cs="Verdana"/>
      <w:sz w:val="20"/>
      <w:szCs w:val="20"/>
    </w:rPr>
  </w:style>
  <w:style w:type="paragraph" w:styleId="NormalWeb">
    <w:name w:val="Normal (Web)"/>
    <w:aliases w:val="Normal (Web) Char,Char Char5, Char Char Char,Char Char Char Char Char Char Char Char Char Char,Char Char Char Char Char Char Char Char Char Char Char,Обычный (веб)1,Обычный (веб) Знак,Обычный (веб) Знак1,Обычный (веб) Знак Знак,webb"/>
    <w:basedOn w:val="Normal"/>
    <w:link w:val="NormalWebChar1"/>
    <w:qFormat/>
    <w:rsid w:val="00DC3DCF"/>
    <w:pPr>
      <w:spacing w:after="0" w:line="240" w:lineRule="auto"/>
    </w:pPr>
    <w:rPr>
      <w:rFonts w:ascii="Tahoma" w:eastAsia="Calibri" w:hAnsi="Tahoma" w:cs="Tahoma"/>
      <w:sz w:val="16"/>
      <w:szCs w:val="16"/>
      <w:lang w:val="vi-VN" w:eastAsia="vi-VN"/>
    </w:rPr>
  </w:style>
  <w:style w:type="character" w:customStyle="1" w:styleId="NormalWebChar1">
    <w:name w:val="Normal (Web) Char1"/>
    <w:aliases w:val="Normal (Web) Char Char,Char Char5 Char, Char Char Char Char,Char Char Char Char Char Char Char Char Char Char Char1,Char Char Char Char Char Char Char Char Char Char Char Char,Обычный (веб)1 Char,Обычный (веб) Знак Char,webb Char"/>
    <w:link w:val="NormalWeb"/>
    <w:qFormat/>
    <w:locked/>
    <w:rsid w:val="00DC3DCF"/>
    <w:rPr>
      <w:rFonts w:ascii="Tahoma" w:eastAsia="Calibri" w:hAnsi="Tahoma" w:cs="Tahoma"/>
      <w:sz w:val="16"/>
      <w:szCs w:val="16"/>
      <w:lang w:val="vi-VN" w:eastAsia="vi-VN"/>
    </w:rPr>
  </w:style>
  <w:style w:type="character" w:customStyle="1" w:styleId="fontstyle01">
    <w:name w:val="fontstyle01"/>
    <w:rsid w:val="00C5726B"/>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043C8-250E-4663-8E9C-5820ED096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245</Words>
  <Characters>1400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ADMIN</cp:lastModifiedBy>
  <cp:revision>11</cp:revision>
  <cp:lastPrinted>2025-11-10T07:33:00Z</cp:lastPrinted>
  <dcterms:created xsi:type="dcterms:W3CDTF">2026-03-31T02:22:00Z</dcterms:created>
  <dcterms:modified xsi:type="dcterms:W3CDTF">2026-03-31T06:41:00Z</dcterms:modified>
</cp:coreProperties>
</file>